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1558EA31" w:rsidR="00316B26" w:rsidRPr="007C66BF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C376B9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7C66BF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05E16192" w:rsidR="006C5723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</w:t>
      </w:r>
      <w:proofErr w:type="spellStart"/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>pt</w:t>
      </w:r>
      <w:proofErr w:type="spellEnd"/>
      <w:r w:rsidR="00C376B9" w:rsidRPr="00C376B9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C376B9">
        <w:rPr>
          <w:rFonts w:ascii="Inter Display" w:hAnsi="Inter Display" w:cstheme="minorHAnsi"/>
          <w:i/>
          <w:iCs/>
          <w:sz w:val="20"/>
          <w:szCs w:val="20"/>
        </w:rPr>
        <w:t>R</w:t>
      </w:r>
      <w:r w:rsidR="00C376B9" w:rsidRPr="0069396D">
        <w:rPr>
          <w:rFonts w:ascii="Inter Display" w:hAnsi="Inter Display" w:cstheme="minorHAnsi"/>
          <w:i/>
          <w:iCs/>
          <w:sz w:val="20"/>
          <w:szCs w:val="20"/>
        </w:rPr>
        <w:t>ealizacja usług przeglądów serwisowych agregatów prądotwórczych</w:t>
      </w:r>
      <w:r w:rsidR="00081A46" w:rsidRPr="007C66BF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p w14:paraId="317FF4FB" w14:textId="77777777" w:rsidR="00C376B9" w:rsidRPr="007C66BF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7C66BF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8C0C84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>
        <w:rPr>
          <w:rFonts w:ascii="Inter Display" w:hAnsi="Inter Display" w:cstheme="minorHAnsi"/>
          <w:sz w:val="20"/>
          <w:szCs w:val="20"/>
        </w:rPr>
        <w:t> </w:t>
      </w:r>
      <w:r w:rsidRPr="008C0C84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>
        <w:rPr>
          <w:rFonts w:ascii="Inter Display" w:hAnsi="Inter Display" w:cstheme="minorHAnsi"/>
          <w:sz w:val="20"/>
          <w:szCs w:val="20"/>
        </w:rPr>
        <w:t xml:space="preserve"> </w:t>
      </w:r>
      <w:r w:rsidRPr="008C0C84">
        <w:rPr>
          <w:rFonts w:ascii="Inter Display" w:hAnsi="Inter Display" w:cstheme="minorHAnsi"/>
          <w:sz w:val="20"/>
          <w:szCs w:val="20"/>
        </w:rPr>
        <w:t>wynosi</w:t>
      </w:r>
      <w:r w:rsidR="00B37C0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722E177F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376B9">
              <w:rPr>
                <w:rFonts w:ascii="Arial" w:hAnsi="Arial" w:cs="Arial"/>
                <w:sz w:val="20"/>
                <w:szCs w:val="20"/>
              </w:rPr>
              <w:t>Koszt przeglądu serwisowego agregatu</w:t>
            </w:r>
          </w:p>
        </w:tc>
        <w:tc>
          <w:tcPr>
            <w:tcW w:w="992" w:type="dxa"/>
            <w:vAlign w:val="center"/>
          </w:tcPr>
          <w:p w14:paraId="24F08B5E" w14:textId="2C74C6AE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  <w:r w:rsidR="00E959D9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293B9C7F" w14:textId="026A59AC" w:rsidR="00DA3D13" w:rsidRPr="00EB3287" w:rsidRDefault="00EB3287" w:rsidP="00EB3287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Termin przyszłego zamówienia publicznego szacuję na :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od dnia zawarcia umowy</w:t>
      </w:r>
      <w:r w:rsidR="00DA3D13"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2F6C10A" w14:textId="766F68A5" w:rsidR="008C0C84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="Inter Display" w:hAnsi="Inter Display" w:cstheme="minorHAnsi"/>
          <w:b/>
          <w:bCs/>
          <w:sz w:val="20"/>
          <w:szCs w:val="20"/>
        </w:rPr>
        <w:t>N</w:t>
      </w:r>
      <w:r w:rsidRPr="005B1733">
        <w:rPr>
          <w:rFonts w:ascii="Inter Display" w:hAnsi="Inter Display" w:cstheme="minorHAnsi"/>
          <w:b/>
          <w:bCs/>
          <w:sz w:val="20"/>
          <w:szCs w:val="20"/>
        </w:rPr>
        <w:t>ie podlegam</w:t>
      </w:r>
      <w:r w:rsidRPr="005B1733">
        <w:rPr>
          <w:rFonts w:ascii="Inter Display" w:hAnsi="Inter Display" w:cstheme="minorHAnsi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</w:t>
      </w:r>
      <w:r>
        <w:rPr>
          <w:rFonts w:ascii="Inter Display" w:hAnsi="Inter Display" w:cstheme="minorHAnsi"/>
          <w:sz w:val="20"/>
          <w:szCs w:val="20"/>
        </w:rPr>
        <w:t xml:space="preserve"> ***</w:t>
      </w:r>
      <w:r w:rsidRPr="009450FC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5F587413" w14:textId="734B6E0E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5F69D5C4" w14:textId="766B939C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480319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480319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1EBCCAAD" w14:textId="77777777" w:rsidR="008C0C84" w:rsidRPr="00FD1976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 xml:space="preserve">                                                        (podpis Wykonawcy)</w:t>
      </w:r>
    </w:p>
    <w:p w14:paraId="4BB82205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1947A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71FDE51E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***)</w:t>
      </w:r>
    </w:p>
    <w:p w14:paraId="5417A4FE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F93C41">
        <w:rPr>
          <w:rFonts w:asciiTheme="minorHAnsi" w:hAnsiTheme="minorHAnsi" w:cstheme="minorHAnsi"/>
          <w:i/>
          <w:iCs/>
          <w:sz w:val="16"/>
          <w:szCs w:val="16"/>
        </w:rPr>
        <w:t>późn</w:t>
      </w:r>
      <w:proofErr w:type="spellEnd"/>
      <w:r w:rsidRPr="00F93C41">
        <w:rPr>
          <w:rFonts w:asciiTheme="minorHAnsi" w:hAnsiTheme="minorHAnsi" w:cstheme="minorHAnsi"/>
          <w:i/>
          <w:iCs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8C0C84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8C0C84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E4C7" w14:textId="77777777" w:rsidR="008C513A" w:rsidRDefault="008C513A" w:rsidP="009B0A91">
      <w:r>
        <w:separator/>
      </w:r>
    </w:p>
  </w:endnote>
  <w:endnote w:type="continuationSeparator" w:id="0">
    <w:p w14:paraId="5B87E878" w14:textId="77777777" w:rsidR="008C513A" w:rsidRDefault="008C513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D491" w14:textId="77777777" w:rsidR="008C513A" w:rsidRDefault="008C513A" w:rsidP="009B0A91">
      <w:r>
        <w:separator/>
      </w:r>
    </w:p>
  </w:footnote>
  <w:footnote w:type="continuationSeparator" w:id="0">
    <w:p w14:paraId="5F69C850" w14:textId="77777777" w:rsidR="008C513A" w:rsidRDefault="008C513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947A5"/>
    <w:rsid w:val="001B0BC4"/>
    <w:rsid w:val="001B7CDC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72C57"/>
    <w:rsid w:val="00480319"/>
    <w:rsid w:val="004A0BA1"/>
    <w:rsid w:val="004F0E91"/>
    <w:rsid w:val="004F4256"/>
    <w:rsid w:val="00503D1F"/>
    <w:rsid w:val="00506FBF"/>
    <w:rsid w:val="005173D2"/>
    <w:rsid w:val="00550B22"/>
    <w:rsid w:val="0056164A"/>
    <w:rsid w:val="005906E5"/>
    <w:rsid w:val="00592222"/>
    <w:rsid w:val="005A10C1"/>
    <w:rsid w:val="005D5386"/>
    <w:rsid w:val="005F2322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4237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8367A0"/>
    <w:rsid w:val="00847D10"/>
    <w:rsid w:val="00867797"/>
    <w:rsid w:val="0089232C"/>
    <w:rsid w:val="008C0C84"/>
    <w:rsid w:val="008C513A"/>
    <w:rsid w:val="008D442A"/>
    <w:rsid w:val="00926782"/>
    <w:rsid w:val="00926ADF"/>
    <w:rsid w:val="00926EC6"/>
    <w:rsid w:val="00931280"/>
    <w:rsid w:val="00932043"/>
    <w:rsid w:val="00957FE9"/>
    <w:rsid w:val="00997CC7"/>
    <w:rsid w:val="009A1802"/>
    <w:rsid w:val="009B0A91"/>
    <w:rsid w:val="009F2D7A"/>
    <w:rsid w:val="00A210DA"/>
    <w:rsid w:val="00A24AB4"/>
    <w:rsid w:val="00A507A1"/>
    <w:rsid w:val="00A57115"/>
    <w:rsid w:val="00A60FD0"/>
    <w:rsid w:val="00AB34FB"/>
    <w:rsid w:val="00AC559E"/>
    <w:rsid w:val="00B06CBE"/>
    <w:rsid w:val="00B34196"/>
    <w:rsid w:val="00B37C00"/>
    <w:rsid w:val="00B41A41"/>
    <w:rsid w:val="00B470CA"/>
    <w:rsid w:val="00B63E70"/>
    <w:rsid w:val="00B71E3D"/>
    <w:rsid w:val="00B8049D"/>
    <w:rsid w:val="00BA50B2"/>
    <w:rsid w:val="00BB3080"/>
    <w:rsid w:val="00BC440A"/>
    <w:rsid w:val="00BE3DB9"/>
    <w:rsid w:val="00BF02C1"/>
    <w:rsid w:val="00C011E3"/>
    <w:rsid w:val="00C376B9"/>
    <w:rsid w:val="00C72782"/>
    <w:rsid w:val="00C7751F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959D9"/>
    <w:rsid w:val="00EA0CAE"/>
    <w:rsid w:val="00EB3287"/>
    <w:rsid w:val="00EC681B"/>
    <w:rsid w:val="00EC7F62"/>
    <w:rsid w:val="00EF3790"/>
    <w:rsid w:val="00F00A3D"/>
    <w:rsid w:val="00F220B5"/>
    <w:rsid w:val="00F4181B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2026-05-22T05:37:00Z</dcterms:created>
  <dcterms:modified xsi:type="dcterms:W3CDTF">2026-05-22T05:37:00Z</dcterms:modified>
</cp:coreProperties>
</file>