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7C26" w14:textId="7E3FD019" w:rsidR="00D323D0" w:rsidRPr="00D323D0" w:rsidRDefault="00D323D0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D607F6" w:rsidRPr="00D323D0">
        <w:rPr>
          <w:rFonts w:asciiTheme="minorHAnsi" w:hAnsiTheme="minorHAnsi" w:cs="Arial"/>
          <w:b/>
          <w:bCs/>
          <w:sz w:val="22"/>
          <w:szCs w:val="22"/>
        </w:rPr>
        <w:t xml:space="preserve">Nr sprawy: </w:t>
      </w:r>
      <w:r w:rsidR="00BD0C03" w:rsidRPr="00D323D0">
        <w:rPr>
          <w:rFonts w:asciiTheme="minorHAnsi" w:hAnsiTheme="minorHAnsi" w:cs="Arial"/>
          <w:b/>
          <w:bCs/>
          <w:sz w:val="22"/>
          <w:szCs w:val="22"/>
        </w:rPr>
        <w:t>O.253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207FB1">
        <w:rPr>
          <w:rFonts w:asciiTheme="minorHAnsi" w:hAnsiTheme="minorHAnsi" w:cs="Arial"/>
          <w:b/>
          <w:bCs/>
          <w:sz w:val="22"/>
          <w:szCs w:val="22"/>
        </w:rPr>
        <w:t>173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>2024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ab/>
      </w:r>
    </w:p>
    <w:p w14:paraId="40EEB59F" w14:textId="4111908B" w:rsidR="00215A14" w:rsidRPr="00D323D0" w:rsidRDefault="00215A14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Załącznik nr </w:t>
      </w:r>
      <w:r w:rsidR="00456FB5">
        <w:rPr>
          <w:rFonts w:asciiTheme="minorHAnsi" w:hAnsiTheme="minorHAnsi" w:cs="Arial"/>
          <w:b/>
          <w:bCs/>
          <w:sz w:val="22"/>
          <w:szCs w:val="22"/>
        </w:rPr>
        <w:t>2</w:t>
      </w:r>
    </w:p>
    <w:p w14:paraId="2D11E605" w14:textId="77777777" w:rsidR="00215A14" w:rsidRPr="00244D9B" w:rsidRDefault="00215A14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202B500C" w14:textId="464A319C" w:rsidR="00D17107" w:rsidRDefault="00D17107" w:rsidP="00D17107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D17107">
        <w:rPr>
          <w:rFonts w:asciiTheme="minorHAnsi" w:hAnsiTheme="minorHAnsi" w:cs="Arial"/>
          <w:b/>
          <w:sz w:val="22"/>
          <w:szCs w:val="22"/>
        </w:rPr>
        <w:t xml:space="preserve">Opis I </w:t>
      </w:r>
      <w:r w:rsidR="002519B4">
        <w:rPr>
          <w:rFonts w:asciiTheme="minorHAnsi" w:hAnsiTheme="minorHAnsi" w:cs="Arial"/>
          <w:b/>
          <w:sz w:val="22"/>
          <w:szCs w:val="22"/>
        </w:rPr>
        <w:t xml:space="preserve">części </w:t>
      </w:r>
      <w:r w:rsidRPr="00D17107">
        <w:rPr>
          <w:rFonts w:asciiTheme="minorHAnsi" w:hAnsiTheme="minorHAnsi" w:cs="Arial"/>
          <w:b/>
          <w:sz w:val="22"/>
          <w:szCs w:val="22"/>
        </w:rPr>
        <w:t xml:space="preserve"> Inwestycji pt. „Przebudowa i rozbudowa wraz z dostosowaniem budynku przy ul. Kopernika 46A do potrzeb WMCNT.”</w:t>
      </w:r>
    </w:p>
    <w:p w14:paraId="045F6AC5" w14:textId="77777777" w:rsidR="00D17107" w:rsidRDefault="00D17107" w:rsidP="00D17107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234B4A7" w14:textId="5B8FC083" w:rsidR="003D6138" w:rsidRDefault="003D6138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11FAA74" w14:textId="77777777" w:rsidR="00D17107" w:rsidRPr="00D17107" w:rsidRDefault="00D17107" w:rsidP="00D17107">
      <w:pPr>
        <w:numPr>
          <w:ilvl w:val="0"/>
          <w:numId w:val="33"/>
        </w:numPr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D17107">
        <w:rPr>
          <w:rFonts w:asciiTheme="minorHAnsi" w:eastAsia="Calibri" w:hAnsiTheme="minorHAnsi" w:cstheme="minorHAnsi"/>
          <w:b/>
          <w:sz w:val="22"/>
          <w:szCs w:val="22"/>
        </w:rPr>
        <w:t>SZCZEGÓŁOWY OPIS PRZEDMIOTU ZAMÓWIENIA:</w:t>
      </w:r>
    </w:p>
    <w:p w14:paraId="46DB1342" w14:textId="77777777" w:rsidR="00D17107" w:rsidRPr="00D17107" w:rsidRDefault="00D17107" w:rsidP="00D17107">
      <w:pPr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D17107">
        <w:rPr>
          <w:rFonts w:asciiTheme="minorHAnsi" w:eastAsia="Calibri" w:hAnsiTheme="minorHAnsi" w:cstheme="minorHAnsi"/>
          <w:b/>
          <w:bCs/>
          <w:sz w:val="22"/>
          <w:szCs w:val="22"/>
        </w:rPr>
        <w:t>Do zadań Wykonawcy należy:</w:t>
      </w:r>
    </w:p>
    <w:p w14:paraId="5D7EB320" w14:textId="24884575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opracowanie Programu Funkcjonalno-Użytkowego (w skrócie PFU) dla </w:t>
      </w:r>
      <w:r w:rsidR="009E0D50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I części Inwestycji pt. </w:t>
      </w: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„Przebudowa i rozbudowa wraz z dostosowaniem budynku przy ul. Kopernika 46A w Olsztynie do potrzeb WMCNT” polegającego na opracowaniu szczegółowej inwentaryzacji architektoniczno-budowlanej ,opracowaniu programu funkcjonalno-użytkowego wraz z koncepcją architektoniczną niezbędną do dalszego działania polegającego na zaprojektowaniu i wykonaniu robót budowlanych w budynku dla nowej siedziby Warmińsko Mazurskiego Centrum Nowych Technologii, w Olsztynie przy ul. M. Kopernika 46A wraz z budową zewnętrznego dźwigu osobowego, przebudową wewnętrznej instalacji wentylacji mechanicznej z klimatyzacją i instalacją ciepła technologicznego oraz przebudową wewnętrznych instalacji: wodociągowej, kanalizacyjnej, c.o., elektrycznej i teletechnicznej.</w:t>
      </w:r>
    </w:p>
    <w:p w14:paraId="60AABEE5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opracowanie koncepcji architektoniczno-budowlanej, określającej przeznaczenie planowanego obiektu, wymagania techniczne, ekonomiczne, architektoniczne, materiałowe i funkcjonalne, a także określenie kosztów realizacji zadania na późniejszym etapie (prace projektowe, roboty budowlane wraz z nadzorem inwestorskim).</w:t>
      </w:r>
    </w:p>
    <w:p w14:paraId="116A4317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sporządzenie szczegółowej inwentaryzacji architektoniczno-budowlanej obiektu wraz z ekspertyzą techniczną stanu konstrukcji i elementów budynku, z uwzględnieniem stanu podłoża gruntowego. Inwentaryzacja posłuży do prawidłowego zaprojektowania i ustalenia planowanych kosztów prac projektowych i robót budowlanych oraz do identyfikacji możliwości w zakresie ich wykonania. Inwentaryzacja powinna obejmować zarówno stan istniejący obiektu jak i identyfikację możliwości jego remontu lub przebudowy i przearanżowania dla potrzeb Zamawiającego z uwzględnieniem wymagań dla budynku użyteczności publicznej. Inwentaryzację należy wykonać wraz ze szczegółową dokumentacją fotograficzną stanu istniejącego oraz innymi opracowaniami niezbędnymi do wykonania zamierzenia inwestycyjnego Zamawiającego.</w:t>
      </w:r>
    </w:p>
    <w:p w14:paraId="349C9269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75A9A3CD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  <w:t>II. OBECNA CHARAKTERYSTYKA OBIEKTU</w:t>
      </w:r>
    </w:p>
    <w:p w14:paraId="07FDF1A0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342B4E3C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Budynek usytuowany jest w Olsztynie, przy ul. Kopernika 46a, na działce gruntowej nr 82 obręb 71 m. Olsztyn, jest to obiekt pięciokondygnacyjny, podpiwniczony, o łącznej powierzchni użytkowej 1210,33 m2 i kubaturze 3430m3, znajdujący się na działce o powierzchni 268,95 m2. Obiekt konstrukcji tradycyjnej murowanej, ściany wykonane z cegły pełnej, ocieplone styropianem, otynkowane. Stropy i schody żelbetowe. Dach czterospadowy, konstrukcja stalowa, ocieplony wełną, pokryty blachą i papą. Stolarka okienna i drzwiowa – PCV i Aluminium. Budynek obecnie o funkcji biurowej. W pomieszczeniach piwnicznych zlokalizowany jest węzeł ciepłowniczy (prawdopodobnie do przebudowy).W pomieszczeniach piwnicznych oraz szybie windowym widoczne ślady wilgoci, podczas ulewnego deszczu podłoga jest zalewana.</w:t>
      </w:r>
    </w:p>
    <w:p w14:paraId="7C6515BB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</w:p>
    <w:p w14:paraId="4CFFA124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  <w:t>III. GŁÓWNE ZAŁOŻENIA DOTYCZĄCE PROJEKTOWANEGO OBIEKTU</w:t>
      </w:r>
    </w:p>
    <w:p w14:paraId="05D5C5D0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751266F8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Głównym celem zamierzenia, którego dotyczyć będzie koncepcja architektoniczno-budowlana oraz program funkcjonalno-użytkowy, jest zaprojektowanie budynku użyteczności publicznej, siedziby </w:t>
      </w: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lastRenderedPageBreak/>
        <w:t xml:space="preserve">Warmińsko- Mazurskiego Centrum Nowych Technologii (WMCNT) oraz Centrum Polsko-Francuskie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Côtes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d'Armor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– Warmia i Mazury w Olsztynie (CPF). Opracowanie powinno założyć zaprojektowanie niezbędnych instalacji z podlicznikami w celu samodzielnego rozliczania się stron z dostawcami i odbiorcami. Należy uwzględnić zastosowanie nowoczesnych rozwiązań w zakresie budownictwa kubaturowego w szczególności rozwiązań pro-ekologicznych, jednocześnie obejmować analizę możliwości projektowania energooszczędnego i niskoemisyjnego z zastosowaniem nowoczesnych technologii i rozwiązań przewidzianych dla budynków autonomicznych wraz z użyciem alternatywnych źródeł energii.</w:t>
      </w:r>
    </w:p>
    <w:p w14:paraId="5E0530F4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  <w:t>Priorytetowym zadaniem jest ustalenie możliwości nadbudowania dodatkowego piętra (na całości lub części obecnego dachu), która umożliwi uzyskanie dodatkowych powierzchni przeznaczonych na potrzeby pomieszczeń biurowych. W przypadku braku możliwości/zgody, Zamawiający dopuszcza zmiany w Głównych założeniach projektowania.</w:t>
      </w:r>
    </w:p>
    <w:p w14:paraId="0833DA09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 tym celu Wykonawca winien</w:t>
      </w:r>
    </w:p>
    <w:p w14:paraId="48403322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wystąpić o zalecenia konserwatorskie i uzyskać np. wstępne uzgodnienie koncepcji z WKZ, gdyż obiekt objęty opracowaniem znajduje się w Gminnej ewidencji zabytków jako Aleja i Układ Urbanistyczny</w:t>
      </w:r>
    </w:p>
    <w:p w14:paraId="61F66B1A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sporządzić analizę urbanistyczną nt. ewentualnej nadbudowy uzgodnioną w Wydziale Urbanistyki i Architektury Miasta Olsztyna</w:t>
      </w:r>
    </w:p>
    <w:p w14:paraId="4577B6C9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sz w:val="22"/>
          <w:szCs w:val="22"/>
          <w:lang w:eastAsia="en-US" w:bidi="pl-PL"/>
        </w:rPr>
        <w:t>- przedstawić listę niezbędnych pozwoleń, opinii, ekspertyz.</w:t>
      </w:r>
    </w:p>
    <w:p w14:paraId="1CAC1DE7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</w:p>
    <w:p w14:paraId="1203FB71" w14:textId="77777777" w:rsidR="00D17107" w:rsidRPr="00D17107" w:rsidRDefault="00D17107" w:rsidP="00D17107">
      <w:pPr>
        <w:widowControl w:val="0"/>
        <w:numPr>
          <w:ilvl w:val="0"/>
          <w:numId w:val="35"/>
        </w:numPr>
        <w:ind w:left="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  <w:t>Funkcje i cele dodatkowe:</w:t>
      </w:r>
    </w:p>
    <w:p w14:paraId="3DD1CD55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 wszystkich kondygnacjach należy przewidzieć toalety ogólnodostępne damskie, męskie, dostosowane do użytku przez osoby ze szczególnymi potrzebami oraz pomieszczenia socjalne, w miarę możliwości pomieszczenia do przechowywania – pow. magazynowe.</w:t>
      </w:r>
    </w:p>
    <w:p w14:paraId="34BF00F5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Winda w miarę możliwości powinna umożliwić dostęp do wszystkich kondygnacji (należy rozważyć przeniesienie windy za obrys budynku).</w:t>
      </w:r>
    </w:p>
    <w:p w14:paraId="1E9490FF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Należy zaprojektować powierzchnię dachu jako użytkową (panele fotowoltaiczne, zielony dach, palarnia, taras) – w przypadku braku możliwości nadbudowy.</w:t>
      </w:r>
    </w:p>
    <w:p w14:paraId="448B3FE2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Należy zaplanować umiejscowienie kontenerów na śmieci (nie ustalono jak rozwiązał tę kwestię poprzedni właściciel) </w:t>
      </w:r>
    </w:p>
    <w:p w14:paraId="2D1E9240" w14:textId="77777777" w:rsidR="00D17107" w:rsidRPr="00D17107" w:rsidRDefault="00D17107" w:rsidP="00D17107">
      <w:pPr>
        <w:widowControl w:val="0"/>
        <w:numPr>
          <w:ilvl w:val="0"/>
          <w:numId w:val="34"/>
        </w:numPr>
        <w:ind w:left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bookmarkStart w:id="0" w:name="_Hlk163556081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Piwnice:  należy zaplanować pomieszczenia magazynowe, pomocnicze dla konserwatora, obsługi sprzątającej, archiwum/składnicę akt, zachować węzeł ciepłowniczy (prawdopodobnie do przebudowy)  </w:t>
      </w:r>
    </w:p>
    <w:p w14:paraId="08DD703A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WYMAGANIA SKŁADNICY</w:t>
      </w:r>
    </w:p>
    <w:p w14:paraId="322725C8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  <w:bookmarkStart w:id="1" w:name="_Toc372200007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Lokal i wyposażenie </w:t>
      </w:r>
      <w:bookmarkEnd w:id="1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składnicy akt</w:t>
      </w:r>
    </w:p>
    <w:p w14:paraId="22E132CA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34662DA6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n-GB"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Lokal składnicy akt składa się ze stałego miejsca do pracy dla archiwisty, miejsce do korzystania z dokumentacji nie może znajdować się w pomieszczeniu magazynowym.</w:t>
      </w:r>
    </w:p>
    <w:p w14:paraId="4EF210F8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 pomieszczeniu składnicy akt do przechowywania dokumentacji w postaci nieelektronicznej zapewnia się warunki do realizacji zadań składnicy akt oraz zabezpieczenia przechowywanej w nim dokumentacji przed uszkodzeniem, zniszczeniem lub utratą;</w:t>
      </w:r>
    </w:p>
    <w:p w14:paraId="3781E7DD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 szczególności pomieszczenie to powinno:</w:t>
      </w:r>
    </w:p>
    <w:p w14:paraId="0DA8E719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składać się z elementów konstrukcyjnych o odpowiedniej nośności i wytrzymałości;</w:t>
      </w:r>
    </w:p>
    <w:p w14:paraId="23B66D72" w14:textId="77777777" w:rsidR="00D17107" w:rsidRPr="00D17107" w:rsidRDefault="00D17107" w:rsidP="00D17107">
      <w:pPr>
        <w:widowControl w:val="0"/>
        <w:numPr>
          <w:ilvl w:val="0"/>
          <w:numId w:val="39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być suche i zapewniać właściwą temperaturę w ciągu roku;</w:t>
      </w:r>
    </w:p>
    <w:p w14:paraId="28916D35" w14:textId="77777777" w:rsidR="00D17107" w:rsidRPr="00D17107" w:rsidRDefault="00D17107" w:rsidP="00D17107">
      <w:pPr>
        <w:widowControl w:val="0"/>
        <w:numPr>
          <w:ilvl w:val="0"/>
          <w:numId w:val="39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posiadać skuteczną wentylację i sprawną instalację elektryczną;</w:t>
      </w:r>
    </w:p>
    <w:p w14:paraId="6E1745F8" w14:textId="77777777" w:rsidR="00D17107" w:rsidRPr="00D17107" w:rsidRDefault="00D17107" w:rsidP="00D17107">
      <w:pPr>
        <w:widowControl w:val="0"/>
        <w:numPr>
          <w:ilvl w:val="0"/>
          <w:numId w:val="39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być zabezpieczone przed włamaniem i dostępem osób nieuprawnionych;</w:t>
      </w:r>
    </w:p>
    <w:p w14:paraId="0DE43262" w14:textId="77777777" w:rsidR="00D17107" w:rsidRPr="00D17107" w:rsidRDefault="00D17107" w:rsidP="00D17107">
      <w:pPr>
        <w:widowControl w:val="0"/>
        <w:numPr>
          <w:ilvl w:val="0"/>
          <w:numId w:val="39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być zabezpieczone przed pożarem co najmniej przez system wykrywania ognia i dymu oraz wyposażone w gaśnice proszkowe odpowiednie do potencjalnego źródła pożaru;</w:t>
      </w:r>
    </w:p>
    <w:p w14:paraId="066D93AD" w14:textId="77777777" w:rsidR="00D17107" w:rsidRPr="00D17107" w:rsidRDefault="00D17107" w:rsidP="00D17107">
      <w:pPr>
        <w:widowControl w:val="0"/>
        <w:numPr>
          <w:ilvl w:val="0"/>
          <w:numId w:val="39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być zabezpieczone przed bezpośrednim działaniem promieni słonecznych przez zastosowanie w oknach zasłon, żaluzji, szyb lub folii chroniących przed promieniowaniem UV;</w:t>
      </w:r>
    </w:p>
    <w:p w14:paraId="34C6FE8F" w14:textId="77777777" w:rsidR="00D17107" w:rsidRPr="00D17107" w:rsidRDefault="00D17107" w:rsidP="00D17107">
      <w:pPr>
        <w:widowControl w:val="0"/>
        <w:numPr>
          <w:ilvl w:val="0"/>
          <w:numId w:val="39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zapewniać możliwość stałego dostępu do całości przechowywanej dokumentacji, bez potrzeby przestawiania części dokumentacji w celu dotarcia do innej;</w:t>
      </w:r>
    </w:p>
    <w:p w14:paraId="66402ED5" w14:textId="694719ED" w:rsidR="00D17107" w:rsidRPr="00456FB5" w:rsidRDefault="00D17107" w:rsidP="00456FB5">
      <w:pPr>
        <w:widowControl w:val="0"/>
        <w:numPr>
          <w:ilvl w:val="0"/>
          <w:numId w:val="39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lastRenderedPageBreak/>
        <w:t>posiadać oświetlenie zapewniające odpowiednią widoczność, bez potrzeby korzystania z przenośnego źródła światła.</w:t>
      </w:r>
    </w:p>
    <w:p w14:paraId="4751907F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Pomieszczenia wyposaża się w:</w:t>
      </w:r>
    </w:p>
    <w:p w14:paraId="1F21404A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ponumerowane regały metalowe stacjonarne zabezpieczone przed korozją, usytuowane prostopadle do okien oraz oddalone od ścian minimum 5 cm, z przejściem między nimi minimum 80 cm, o wysokości i szerokości półek dostosowanej do rozmiaru dokumentacji, z odstępem od sufitu i podłogi;</w:t>
      </w:r>
    </w:p>
    <w:p w14:paraId="59AC1CCA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drabinki lub schodki umożliwiające dostęp do wyżej usytuowanych półek;</w:t>
      </w:r>
    </w:p>
    <w:p w14:paraId="3AD95D48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sprzęt do pomiaru temperatury i wilgotności powietrza;</w:t>
      </w:r>
    </w:p>
    <w:p w14:paraId="3FDC5C36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podręczny sprzęt gaśniczy (gaśnice proszkowe odpowiednie do potencjalnego źródła pożaru).</w:t>
      </w:r>
    </w:p>
    <w:p w14:paraId="03CA6148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en-GB"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 pomieszczeniu:</w:t>
      </w:r>
    </w:p>
    <w:p w14:paraId="0602BC96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nie mogą się znajdować przedmioty i urządzenia inne niż bezpośrednio związane z przechowywaniem i zabezpieczaniem dokumentacji;</w:t>
      </w:r>
    </w:p>
    <w:p w14:paraId="32096729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nie wolno stosować farb i lakierów zawierających formaldehyd, ksylen i toluen;</w:t>
      </w:r>
    </w:p>
    <w:p w14:paraId="2DC7713A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nie mogą się znajdować rury i przewody wodociągowe, kanalizacyjne, gazowe, chyba że sposób ich zabezpieczenia nie zagraża przechowywanej dokumentacji;</w:t>
      </w:r>
    </w:p>
    <w:p w14:paraId="574F9609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jako źródeł światła sztucznego należy używać świetlówek o obniżonej emisji promieniowania UV, przy czym maksymalne natężenie światła nie może przekraczać 200 luksów;</w:t>
      </w:r>
    </w:p>
    <w:p w14:paraId="233BBA8D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posadzka powinna być wykonana z powłoki niepylącej, łatwej do utrzymania w czystości (w szczególności płytka ceramiczna, wykładzina zmywalna);</w:t>
      </w:r>
    </w:p>
    <w:p w14:paraId="4570808C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należy utrzymywać warunki wilgotności i temperatury określone w załączniku nr 1 do instrukcji archiwalnej;</w:t>
      </w:r>
    </w:p>
    <w:p w14:paraId="08006616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należy rejestrować przynajmniej w dni robocze warunki wilgotności i temperatury, a wyniki kontrolować i analizować przynajmniej raz na dwa tygodnie;</w:t>
      </w:r>
    </w:p>
    <w:p w14:paraId="12590AB3" w14:textId="77777777" w:rsidR="00D17107" w:rsidRPr="00D17107" w:rsidRDefault="00D17107" w:rsidP="00D17107">
      <w:pPr>
        <w:widowControl w:val="0"/>
        <w:numPr>
          <w:ilvl w:val="0"/>
          <w:numId w:val="40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należy regularnie sprzątać, tak by chronić dokumentację przed kurzem, infekcją grzybów pleśniowych oraz zniszczeniami powodowanymi przez owady i gryzonie.</w:t>
      </w:r>
    </w:p>
    <w:p w14:paraId="7CFC2B0C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bookmarkEnd w:id="0"/>
    <w:p w14:paraId="710C6A23" w14:textId="77777777" w:rsidR="00D17107" w:rsidRPr="00D17107" w:rsidRDefault="00D17107" w:rsidP="00D17107">
      <w:pPr>
        <w:widowControl w:val="0"/>
        <w:numPr>
          <w:ilvl w:val="0"/>
          <w:numId w:val="34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Parter: Na parterze budynku należy przewidzieć dwa oddzielne wejścia: od ul. Mickiewicza – dla CPF oraz od ul. Kopernika – dla CPF i WMCNT, ze wspólnym dostępem do windy, piwnicy i klatki schodowej</w:t>
      </w:r>
    </w:p>
    <w:p w14:paraId="0450A772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 parterze należy zaprojektować serwerownię główną wg. założeń obejmujących:</w:t>
      </w:r>
    </w:p>
    <w:p w14:paraId="25347517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połączenie istniejących serwerowni z ul. Głowackiego 14 oraz ul.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E.Plater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1 (częściowo po RSS, dzierżawa włókien i dobudowanie sieci)</w:t>
      </w:r>
    </w:p>
    <w:p w14:paraId="687CC16E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przeniesienie 6 szaf serwerowych z lokalizacji przy ul. Głowackiego.</w:t>
      </w:r>
    </w:p>
    <w:p w14:paraId="15157D25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zaprojektowanie układu dla co najmniej 12 szaf serwerowych w pomieszczeniu co najmniej 15x5 m lub w innym układzie o zbliżonej powierzchni.</w:t>
      </w:r>
    </w:p>
    <w:p w14:paraId="746EA24B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zaprojektowanie rozwiązania umożliwiającego umieszczenie UPS, klimatyzacji, agregatu prądotwórczego, systemu gaszenia i innych niezbędnych systemów teletechnicznych  </w:t>
      </w:r>
    </w:p>
    <w:p w14:paraId="53551DBE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zaprojektowanie serwerowni z uwzględnieniem planowanych obciążeń (każda z szaf maksymalnie może ważyć 1,5 T x 10 = 15 T) z dostępem do ciągów komunikacyjnych i windy</w:t>
      </w:r>
    </w:p>
    <w:p w14:paraId="0362DDAA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 parterze na potrzeby CPF* należy zaprojektować:</w:t>
      </w:r>
    </w:p>
    <w:p w14:paraId="02DE7BDB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‘Strefa kulturalna’:</w:t>
      </w:r>
    </w:p>
    <w:p w14:paraId="2C4243C5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w miarę możliwości, modułowa przestrzeń typu „open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space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”, do swobodnego, niekrępującego użytku odbiorców, pełniącą rolę przestrzeni wystawienniczej (galeria, czytelnia podręcznego zbioru książek i czasopism) do organizowania kameralnych wystaw, pokazów filmowych, spotkań autorskich (popularno-naukowych), działań kulturalnych, edukacyjnych i animacyjnych dla różnych grup wiekowych,  z możliwością bieżącego aranżowania (za pomocą ruchomego wyposażenia, np. regałów z książkami na kółkach) na potrzeby organizacji różnych działań;</w:t>
      </w:r>
    </w:p>
    <w:p w14:paraId="052EB3CA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w pobliżu głównego wejścia (od strony ulicy Mickiewicza) stanowisko recepcji z dwoma stanowiskami pracy, miejsce, w którym obsługiwani będą wszyscy odwiedzający, zainteresowani ofertą CPF; </w:t>
      </w:r>
    </w:p>
    <w:p w14:paraId="6BB400FB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lastRenderedPageBreak/>
        <w:t xml:space="preserve">- w przestrzeni „open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space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” do zaprojektowania strefa coworkingowa ze stanowiskami do pracy (dla max 4 osób), z których korzystać będą mogli stażyści, wolontariusze, osoby zatrudnione na czas określony, ew. użytkownicy czytelni (studenci, uczniowie);</w:t>
      </w:r>
    </w:p>
    <w:p w14:paraId="73968AA7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pomieszczenie socjalne dla pracowników</w:t>
      </w:r>
    </w:p>
    <w:p w14:paraId="7152110A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podręczny magazynek</w:t>
      </w:r>
    </w:p>
    <w:p w14:paraId="7464ADE2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toalety damska i męska (w tym lub oraz dla pracowników z niepełnosprawnościami)  k do użytku pracowników;</w:t>
      </w:r>
    </w:p>
    <w:p w14:paraId="556F9DAD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* Centrum Polsko-Francuskie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Côtes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d’Armor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-Warmia i Mazury w Olsztynie (CPF), samorządowa instytucja kultury Województwa Warmińsko-Mazurskiego, której podstawową misją jest działalność kulturalno-edukacyjna mająca na celu popularyzację kultury Francji i krajów francuskojęzycznych, w tym nauczanie języka francuskiego (kursy językowe). Stan zatrudnienia (na 2024 r.): 7 etatów. Podstawowa działalność kulturalna prowadzona jest od poniedziałku do piątku. Okazjonalnie CPF organizuje wydarzenia również w weekendy (informacja do uwzględnienia przy projektowaniu dostępu do zajmowanych przez instytucję przestrzeni – parteru/I piętra – niezależnie od WMCNT). </w:t>
      </w:r>
    </w:p>
    <w:p w14:paraId="3600E950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5C037861" w14:textId="77777777" w:rsidR="00D17107" w:rsidRPr="00D17107" w:rsidRDefault="00D17107" w:rsidP="00D17107">
      <w:pPr>
        <w:widowControl w:val="0"/>
        <w:numPr>
          <w:ilvl w:val="0"/>
          <w:numId w:val="34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I Piętro: Na I piętrze na potrzeby CPF* należy zaprojektować:</w:t>
      </w:r>
    </w:p>
    <w:p w14:paraId="0C2E04AC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'Strefa edukacyjno-szkoleniowa i biurowa’</w:t>
      </w:r>
    </w:p>
    <w:p w14:paraId="5C75EF62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- 2 sale dydaktyczne/warsztatowe do nauki języków –  Centrum PL-FR organizuje kursy językowe, grupowe i indywidualne, dla osób w różnym wieku (grupy dziecięce: 7-12 lat; młodzieżowe: 13-18 lat; dorosłe: 18+); grupy liczą od 5 do 12 osób, zajęcia odbywają się w godz. 8.00-20.00; </w:t>
      </w:r>
    </w:p>
    <w:p w14:paraId="336D6595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- 1 sala dydaktyczno-konferencyjna przygotowana z myślą o prowadzeniu zajęć z języka francuskiego oraz spotkań projektowych, biznesowych (wyposażona w przesuwną akustyczną ścianę działową z możliwością wydzielenia 2 mniejszych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sal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)</w:t>
      </w:r>
    </w:p>
    <w:p w14:paraId="06DEDCF3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- 3 pomieszczenia biurowe: administracja/IODO, główna księgowa, dyrektor</w:t>
      </w:r>
    </w:p>
    <w:p w14:paraId="2ECF0542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podręczny magazynek</w:t>
      </w:r>
    </w:p>
    <w:p w14:paraId="57098A8B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- 1 pomieszczenie pełniące funkcję sekretariatu kursów językowych (w pobliżu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sal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dydaktycznych; łatwo dostępne dla użytkowników)</w:t>
      </w:r>
    </w:p>
    <w:p w14:paraId="2414E0F9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archiwum zakładowe (odrębne pomieszczenie dostosowane zgodnie z Rozporządzeniem Prezesa Rady Ministrów z dnia 18 stycznia 2011 r. w sprawie instrukcji kancelaryjnej, jednolitych rzeczowych wykazów akt oraz instrukcji w sprawie organizacji i zakresu działania archiwów zakładowych);</w:t>
      </w:r>
    </w:p>
    <w:p w14:paraId="50076834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pomieszczenie socjalne dla pracowników</w:t>
      </w: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 w:bidi="pl-PL"/>
        </w:rPr>
        <w:t xml:space="preserve">; </w:t>
      </w:r>
    </w:p>
    <w:p w14:paraId="47357220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toalety damska i męska (w tym lub oraz dla pracowników z niepełnosprawnościami);</w:t>
      </w:r>
    </w:p>
    <w:p w14:paraId="68680A4B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pomieszczenie pomocnicze/techniczno-gospodarcze dla obsługi sprzątającej (ewentualnie w piwnicy –  współdzielone z WMCNT);</w:t>
      </w:r>
    </w:p>
    <w:p w14:paraId="7A5FC2D3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- pomieszczenie magazynowe (ewentualnie w piwnicy; w obecnej siedzibie na magazyn wykorzystywane jest ok. 25 m</w:t>
      </w: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vertAlign w:val="superscript"/>
          <w:lang w:eastAsia="en-US" w:bidi="pl-PL"/>
        </w:rPr>
        <w:t>2</w:t>
      </w: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powierzchni)</w:t>
      </w:r>
    </w:p>
    <w:p w14:paraId="46C201DA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1BCDE2F0" w14:textId="77777777" w:rsidR="00D17107" w:rsidRPr="00D17107" w:rsidRDefault="00D17107" w:rsidP="00D17107">
      <w:pPr>
        <w:widowControl w:val="0"/>
        <w:numPr>
          <w:ilvl w:val="0"/>
          <w:numId w:val="34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bookmarkStart w:id="2" w:name="_Hlk165976655"/>
      <w:bookmarkStart w:id="3" w:name="_Hlk162358035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II, III,IV </w:t>
      </w:r>
      <w:bookmarkEnd w:id="2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Piętro: </w:t>
      </w:r>
      <w:bookmarkStart w:id="4" w:name="_Hlk162511456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dobrze doświetlone powierzchnie</w:t>
      </w:r>
      <w:bookmarkEnd w:id="4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, </w:t>
      </w:r>
      <w:bookmarkStart w:id="5" w:name="_Hlk162516910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pomieszczenia biurowe przestronne, z miejscem na szafy, biurka, </w:t>
      </w:r>
      <w:bookmarkEnd w:id="5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ew. z mobilnymi ściankami, przegrodami akustycznymi, podręczny magazynek</w:t>
      </w:r>
    </w:p>
    <w:p w14:paraId="4487C364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Najwyższa kondygnacja:</w:t>
      </w:r>
    </w:p>
    <w:p w14:paraId="275FA1A1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Sekretariat – 2 osoby</w:t>
      </w:r>
    </w:p>
    <w:p w14:paraId="1AC87036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3 gabinety z czego jeden największy narożny (ul. M. Kopernika/ ul. A. Mickiewicza)</w:t>
      </w:r>
    </w:p>
    <w:p w14:paraId="16858F7A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Pomieszczenia biurowe</w:t>
      </w:r>
    </w:p>
    <w:p w14:paraId="1CDDF637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0A3B6CFB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Łącznie na piętrach II, III,IV i w ewentualnej nadbudówce, ok. 60-65 osób z czego 3 Dyrektorów/ Głowna Księgowa/8 Kierowników Biur</w:t>
      </w:r>
    </w:p>
    <w:bookmarkEnd w:id="3"/>
    <w:p w14:paraId="24D09A39" w14:textId="1D80D182" w:rsid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71F229A3" w14:textId="72344201" w:rsid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59D520DD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71B949A8" w14:textId="77777777" w:rsidR="00D17107" w:rsidRPr="00D17107" w:rsidRDefault="00D17107" w:rsidP="00D17107">
      <w:pPr>
        <w:widowControl w:val="0"/>
        <w:numPr>
          <w:ilvl w:val="0"/>
          <w:numId w:val="38"/>
        </w:numPr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  <w:t>Zakres podstawowych prac oraz założenia, które zostaną uwzględnione w PFU:</w:t>
      </w:r>
    </w:p>
    <w:p w14:paraId="6C4BA0C6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2C63B7C1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wymiana instalacji c. o. wraz z grzejnikami;</w:t>
      </w:r>
    </w:p>
    <w:p w14:paraId="088D2947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wymiana instalacji sanitarnych –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wod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. kan., wentylacyjnych;</w:t>
      </w:r>
    </w:p>
    <w:p w14:paraId="2A754B2E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wymiana instalacji elektrycznej z montażem oświetlenia typu LED;</w:t>
      </w:r>
    </w:p>
    <w:p w14:paraId="70D1FB00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wykonanie instalacji teletechnicznej;</w:t>
      </w:r>
    </w:p>
    <w:p w14:paraId="4297204B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montaż systemu alarmowego, przeciwpożarowego;</w:t>
      </w:r>
    </w:p>
    <w:p w14:paraId="3ABEA94D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wymiana pozostałej stolarki okiennej i drzwiowej;</w:t>
      </w:r>
    </w:p>
    <w:p w14:paraId="3F71B076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docieplenie stropodachu i ścian;</w:t>
      </w:r>
    </w:p>
    <w:p w14:paraId="078B6F45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prace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osuszeniowe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i zabezpieczające w budynku;</w:t>
      </w:r>
    </w:p>
    <w:p w14:paraId="0B3859B9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inne jeżeli ich wykonanie niezbędne jest do wykonania zadania inwestycyjnego;</w:t>
      </w:r>
    </w:p>
    <w:p w14:paraId="0BD6D5C4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System Kontroli Dostępu (SKD)</w:t>
      </w:r>
    </w:p>
    <w:p w14:paraId="4BD38596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System telewizji dozorowej CCTV</w:t>
      </w:r>
    </w:p>
    <w:p w14:paraId="0CB8ACFA" w14:textId="77777777" w:rsidR="00D17107" w:rsidRPr="00D17107" w:rsidRDefault="00D17107" w:rsidP="00D17107">
      <w:pPr>
        <w:widowControl w:val="0"/>
        <w:numPr>
          <w:ilvl w:val="1"/>
          <w:numId w:val="36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Instalacje inteligentnego budynku, automatyka budynkowa, Instalacje HVAC      </w:t>
      </w:r>
    </w:p>
    <w:p w14:paraId="23D0B25D" w14:textId="77777777" w:rsidR="00D17107" w:rsidRPr="00D17107" w:rsidRDefault="00D17107" w:rsidP="00D17107">
      <w:pPr>
        <w:widowControl w:val="0"/>
        <w:ind w:left="72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              </w:t>
      </w:r>
    </w:p>
    <w:p w14:paraId="18574E76" w14:textId="77777777" w:rsidR="00D17107" w:rsidRPr="00D17107" w:rsidRDefault="00D17107" w:rsidP="00D17107">
      <w:pPr>
        <w:widowControl w:val="0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  <w:t>IV. WYMAGANIA DOTYCZĄCE PRZEDMIOTU ZAMÓWIENIA</w:t>
      </w:r>
    </w:p>
    <w:p w14:paraId="6869D2F1" w14:textId="77777777" w:rsidR="00D17107" w:rsidRPr="00D17107" w:rsidRDefault="00D17107" w:rsidP="00D17107">
      <w:pPr>
        <w:widowControl w:val="0"/>
        <w:ind w:left="360"/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</w:p>
    <w:p w14:paraId="3ECE4BBB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Zakres opracowania obejmuje branże konstrukcyjną i architektoniczną oraz branże instalacyjne: przeciwpożarowe, sanitarne, niskoprądowe, teletechniczne i elektryczne oraz wentylację i klimatyzację.</w:t>
      </w:r>
    </w:p>
    <w:p w14:paraId="0B3C1928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Zakres opracowania musi zawierać aranżację wnętrz z podziałem na poszczególne pomieszczenia.</w:t>
      </w:r>
    </w:p>
    <w:p w14:paraId="1B9DCD4E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Zakres opracowania musi zawierać koncepcję rozwiązań funkcjonalnych, technicznych, architektonicznych, konstrukcyjnych, instalacyjnych 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itd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.,itp.</w:t>
      </w:r>
    </w:p>
    <w:p w14:paraId="0FD9DE8A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Zakres prac obejmuje wykonanie rzutów kondygnacji, wizualizacji pomieszczeń i budynku.</w:t>
      </w:r>
    </w:p>
    <w:p w14:paraId="343B0643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Zakres opracowania obejmuje zaproponowanie rozwiązań/systemów zarządzania instalacjami i systemami technicznymi  w budynku i obejmuje ich zaprojektowanie.</w:t>
      </w:r>
    </w:p>
    <w:p w14:paraId="576BFFAC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Od Wykonawcy, Zamawiający będzie wymagał wystąpienia do właściwego organu o warunki zabudowy dla projektowanego obiektu.</w:t>
      </w:r>
    </w:p>
    <w:p w14:paraId="653C4053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 w:bidi="pl-PL"/>
        </w:rPr>
        <w:t>Dokumentacja stanowiąca przedmiot umowy będzie sporządzona przez Wykonawcę i przekazana Zamawiającemu w 3 egzemplarzach papierowych oraz w wersji elektronicznej na płycie CD zawierającej pliki w wersji nieedytowalnej oraz edytowalnej (WORD, PDF, DWG</w:t>
      </w:r>
      <w:r w:rsidRPr="00D17107">
        <w:rPr>
          <w:rFonts w:asciiTheme="minorHAnsi" w:eastAsiaTheme="minorHAnsi" w:hAnsiTheme="minorHAnsi" w:cstheme="minorHAnsi"/>
          <w:b/>
          <w:bCs/>
          <w:sz w:val="22"/>
          <w:szCs w:val="22"/>
          <w:lang w:eastAsia="en-US" w:bidi="pl-PL"/>
        </w:rPr>
        <w:t>). Cena powinna uwzględniać projekt w wersji 3D.</w:t>
      </w:r>
    </w:p>
    <w:p w14:paraId="537C9DFF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Wykonawca przewidzi w PFU wykonanie przez Generalnego Wykonawcę projektu i robót, wszelkich niezbędnych badań, w tym badań architektonicznych, konstrukcyjnych, geologicznych i wszelkich innych niezbędnych do wykonania zadania inwestycyjnego Zamawiającego oraz szczegółowo określi zakres i zasięg tych badań, o ile takie badania będą niezbędne do wykonania zadania inwestycyjnego.</w:t>
      </w:r>
    </w:p>
    <w:p w14:paraId="6EC6246A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Na podstawie zakresu robót Wykonawca oszacuje planowane koszty prac projektowych i robót budowlanych. Część kosztowa powinna zawierać zestawienie planowanych kosztów, w szczególności:</w:t>
      </w:r>
    </w:p>
    <w:p w14:paraId="426FDC1C" w14:textId="77777777" w:rsidR="00D17107" w:rsidRPr="00D17107" w:rsidRDefault="00D17107" w:rsidP="00D17107">
      <w:pPr>
        <w:widowControl w:val="0"/>
        <w:numPr>
          <w:ilvl w:val="1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kosztów dokumentacji projektowej: projektu budowlanego i wykonawczego wraz z uzyskaniem niezbędnych zezwoleń, pozwoleń oraz z pełnieniem funkcji nadzoru autorskiego na etapie realizacji;</w:t>
      </w:r>
    </w:p>
    <w:p w14:paraId="585C03B3" w14:textId="77777777" w:rsidR="00D17107" w:rsidRPr="00D17107" w:rsidRDefault="00D17107" w:rsidP="00D17107">
      <w:pPr>
        <w:widowControl w:val="0"/>
        <w:numPr>
          <w:ilvl w:val="1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kosztów badań architektonicznych, konstrukcyjnych, geologicznych i innych niezbędnych do wykonania zamierzenia inwestycyjnego;</w:t>
      </w:r>
    </w:p>
    <w:p w14:paraId="5D06C896" w14:textId="77777777" w:rsidR="00D17107" w:rsidRPr="00D17107" w:rsidRDefault="00D17107" w:rsidP="00D17107">
      <w:pPr>
        <w:widowControl w:val="0"/>
        <w:numPr>
          <w:ilvl w:val="1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kosztów wykonania robót budowlanych wraz z nadzorem inwestorskim.</w:t>
      </w:r>
    </w:p>
    <w:p w14:paraId="684A052C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Program Funkcjonalno-Użytkowy powinien być kompletny i obejmować całość zamierzenia inwestycyjnego oraz powinien być sporządzony zgodnie z Rozporządzeniem Ministra Rozwoju i Technologii z dnia 20 grudnia 2021 r. w sprawie szczegółowego zakresu i formy dokumentacji projektowej, specyfikacji technicznych wykonania i odbioru robót budowlanych oraz programu funkcjonalno-użytkowego.</w:t>
      </w:r>
    </w:p>
    <w:p w14:paraId="7AB54B49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 xml:space="preserve">Opracowany Program Funkcjonalno-Użytkowy będzie podstawą do przeprowadzenia postępowania o udzielenie zamówienia publicznego, przedmiotem, którego będzie </w:t>
      </w: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lastRenderedPageBreak/>
        <w:t xml:space="preserve">zaprojektowanie i wykonanie robót budowlanych w ramach realizacji przyszłego zamierzenia inwestycyjnego w temacie jak w tytule, </w:t>
      </w:r>
    </w:p>
    <w:p w14:paraId="18163BB7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Zamawiający zastrzega sobie możliwość akceptacji wstępnej dokumentacji w tym PFU przed przyjęciem dokumentacji ostatecznej oraz możliwość uaktualniania dokumentacji o wytyczne Zamawiającego na wniosek jego wniosek.</w:t>
      </w:r>
    </w:p>
    <w:p w14:paraId="27FD8943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Zamawiający będzie wymagał ciągłego relacjonowania postępu prac w terminach i trybie uzgodnionym między stronami..</w:t>
      </w:r>
    </w:p>
    <w:p w14:paraId="4487A881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Zamawiający będzie wymagał wsparcia od Wykonawcy na etapie przyszłego postępowania o zamówienie publiczne na roboty budowlane w aspekcie pomocy w udzielaniu odpowiedzi na pytania które wpłynął do Zamawiającego w toku postępowania..</w:t>
      </w:r>
    </w:p>
    <w:p w14:paraId="23583C8C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Opracowanie wykonane w ramach realizacji przedmiotu umowy, będzie objęte ochroną przewidzianą w ustawie z dnia 4 lutego 1994 roku o prawie autorskim i prawach pokrewnych (</w:t>
      </w:r>
      <w:proofErr w:type="spellStart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t.j</w:t>
      </w:r>
      <w:proofErr w:type="spellEnd"/>
      <w:r w:rsidRPr="00D17107">
        <w:rPr>
          <w:rFonts w:asciiTheme="minorHAnsi" w:eastAsiaTheme="minorHAnsi" w:hAnsiTheme="minorHAnsi" w:cstheme="minorHAnsi"/>
          <w:color w:val="000000"/>
          <w:sz w:val="22"/>
          <w:szCs w:val="22"/>
          <w:lang w:eastAsia="en-US" w:bidi="pl-PL"/>
        </w:rPr>
        <w:t>. Dz. U. z 2022 r. poz. 2509.). Przedmiot zamówienia – w ramach umówionego wynagrodzenia - obejmuje także przeniesienie na Zamawiającego majątkowych praw autorskich i pokrewnych w zakresie niniejszej dokumentacji, w tym praw autorskich zależnych.</w:t>
      </w:r>
    </w:p>
    <w:p w14:paraId="0B179EFB" w14:textId="77777777" w:rsidR="00D17107" w:rsidRPr="00D17107" w:rsidRDefault="00D17107" w:rsidP="00D17107">
      <w:pPr>
        <w:widowControl w:val="0"/>
        <w:numPr>
          <w:ilvl w:val="0"/>
          <w:numId w:val="37"/>
        </w:numPr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 w:bidi="pl-PL"/>
        </w:rPr>
      </w:pPr>
      <w:r w:rsidRPr="00D17107">
        <w:rPr>
          <w:rFonts w:asciiTheme="minorHAnsi" w:eastAsiaTheme="minorHAnsi" w:hAnsiTheme="minorHAnsi" w:cstheme="minorHAnsi"/>
          <w:sz w:val="22"/>
          <w:szCs w:val="22"/>
          <w:lang w:eastAsia="en-US" w:bidi="pl-PL"/>
        </w:rPr>
        <w:t>Na potrzeby oszacowania wartości, Zamawiający przewiduje możliwość zorganizowania wizji lokalnej na wniosek zainteresowanego Wykonawcy.</w:t>
      </w:r>
    </w:p>
    <w:p w14:paraId="34D93D3A" w14:textId="0D0EB988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08F0599F" w14:textId="07AAD99E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406B465C" w14:textId="6E770798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76B39B1" w14:textId="179135A9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38C45FA0" w14:textId="60953EB0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892BD4D" w14:textId="10752B3C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A0864BA" w14:textId="2F0D1BCC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24F02E10" w14:textId="2D23E432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4F61779" w14:textId="7FEF5778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1BFB809F" w14:textId="1A820824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097EFF49" w14:textId="68143B74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B39CA39" w14:textId="230FDAEE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324E976E" w14:textId="0C142EEE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D591D60" w14:textId="5EC8DF90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B358289" w14:textId="2EDD98D6" w:rsidR="00D17107" w:rsidRDefault="00D17107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sectPr w:rsidR="00D17107" w:rsidSect="00D32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603F" w14:textId="77777777" w:rsidR="00AD436B" w:rsidRDefault="00AD436B">
      <w:r>
        <w:separator/>
      </w:r>
    </w:p>
  </w:endnote>
  <w:endnote w:type="continuationSeparator" w:id="0">
    <w:p w14:paraId="61A877F4" w14:textId="77777777" w:rsidR="00AD436B" w:rsidRDefault="00A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E554" w14:textId="77777777" w:rsidR="002E5E88" w:rsidRDefault="002E5E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 w:val="22"/>
        <w:szCs w:val="22"/>
      </w:rPr>
      <w:id w:val="-1055235986"/>
      <w:docPartObj>
        <w:docPartGallery w:val="Page Numbers (Bottom of Page)"/>
        <w:docPartUnique/>
      </w:docPartObj>
    </w:sdtPr>
    <w:sdtEndPr/>
    <w:sdtContent>
      <w:p w14:paraId="6D62F4D6" w14:textId="27CC3803" w:rsidR="003C0BEB" w:rsidRPr="003C0BEB" w:rsidRDefault="003C0BEB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3C0BE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3C703346" w14:textId="409B015C"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26BE" w14:textId="422275B0" w:rsidR="00D323D0" w:rsidRDefault="002E5E8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09BD79" wp14:editId="7C602F34">
          <wp:simplePos x="0" y="0"/>
          <wp:positionH relativeFrom="margin">
            <wp:posOffset>-1270</wp:posOffset>
          </wp:positionH>
          <wp:positionV relativeFrom="paragraph">
            <wp:posOffset>-466725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3898" w14:textId="77777777" w:rsidR="00AD436B" w:rsidRDefault="00AD436B">
      <w:r>
        <w:separator/>
      </w:r>
    </w:p>
  </w:footnote>
  <w:footnote w:type="continuationSeparator" w:id="0">
    <w:p w14:paraId="369DBAF2" w14:textId="77777777" w:rsidR="00AD436B" w:rsidRDefault="00AD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8916" w14:textId="77777777" w:rsidR="002E5E88" w:rsidRDefault="002E5E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8845" w14:textId="6B36F13B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376B" w14:textId="01CC647B" w:rsidR="00D323D0" w:rsidRDefault="00D323D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377CE8" wp14:editId="1387F502">
          <wp:simplePos x="0" y="0"/>
          <wp:positionH relativeFrom="column">
            <wp:posOffset>4445</wp:posOffset>
          </wp:positionH>
          <wp:positionV relativeFrom="page">
            <wp:posOffset>447675</wp:posOffset>
          </wp:positionV>
          <wp:extent cx="5760000" cy="849600"/>
          <wp:effectExtent l="0" t="0" r="0" b="8255"/>
          <wp:wrapTight wrapText="bothSides">
            <wp:wrapPolygon edited="0">
              <wp:start x="0" y="0"/>
              <wp:lineTo x="0" y="21325"/>
              <wp:lineTo x="21505" y="21325"/>
              <wp:lineTo x="21505" y="0"/>
              <wp:lineTo x="0" y="0"/>
            </wp:wrapPolygon>
          </wp:wrapTight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2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3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4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6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4"/>
  </w:num>
  <w:num w:numId="5">
    <w:abstractNumId w:val="37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30"/>
  </w:num>
  <w:num w:numId="10">
    <w:abstractNumId w:val="26"/>
  </w:num>
  <w:num w:numId="11">
    <w:abstractNumId w:val="16"/>
  </w:num>
  <w:num w:numId="12">
    <w:abstractNumId w:val="18"/>
  </w:num>
  <w:num w:numId="13">
    <w:abstractNumId w:val="7"/>
  </w:num>
  <w:num w:numId="14">
    <w:abstractNumId w:val="2"/>
  </w:num>
  <w:num w:numId="15">
    <w:abstractNumId w:val="34"/>
  </w:num>
  <w:num w:numId="16">
    <w:abstractNumId w:val="13"/>
  </w:num>
  <w:num w:numId="17">
    <w:abstractNumId w:val="17"/>
  </w:num>
  <w:num w:numId="18">
    <w:abstractNumId w:val="31"/>
  </w:num>
  <w:num w:numId="19">
    <w:abstractNumId w:val="8"/>
  </w:num>
  <w:num w:numId="20">
    <w:abstractNumId w:val="3"/>
  </w:num>
  <w:num w:numId="21">
    <w:abstractNumId w:val="24"/>
  </w:num>
  <w:num w:numId="22">
    <w:abstractNumId w:val="32"/>
  </w:num>
  <w:num w:numId="23">
    <w:abstractNumId w:val="25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36"/>
  </w:num>
  <w:num w:numId="27">
    <w:abstractNumId w:val="21"/>
  </w:num>
  <w:num w:numId="28">
    <w:abstractNumId w:val="27"/>
  </w:num>
  <w:num w:numId="29">
    <w:abstractNumId w:val="38"/>
  </w:num>
  <w:num w:numId="30">
    <w:abstractNumId w:val="23"/>
  </w:num>
  <w:num w:numId="31">
    <w:abstractNumId w:val="11"/>
  </w:num>
  <w:num w:numId="32">
    <w:abstractNumId w:val="12"/>
  </w:num>
  <w:num w:numId="33">
    <w:abstractNumId w:val="35"/>
  </w:num>
  <w:num w:numId="34">
    <w:abstractNumId w:val="5"/>
  </w:num>
  <w:num w:numId="35">
    <w:abstractNumId w:val="1"/>
  </w:num>
  <w:num w:numId="36">
    <w:abstractNumId w:val="20"/>
  </w:num>
  <w:num w:numId="37">
    <w:abstractNumId w:val="28"/>
  </w:num>
  <w:num w:numId="38">
    <w:abstractNumId w:val="33"/>
  </w:num>
  <w:num w:numId="39">
    <w:abstractNumId w:val="0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01D7B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10772"/>
    <w:rsid w:val="001215BA"/>
    <w:rsid w:val="00121D8D"/>
    <w:rsid w:val="0013155D"/>
    <w:rsid w:val="001449D6"/>
    <w:rsid w:val="00147145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07FB1"/>
    <w:rsid w:val="002129FB"/>
    <w:rsid w:val="002150DA"/>
    <w:rsid w:val="00215A14"/>
    <w:rsid w:val="002203F2"/>
    <w:rsid w:val="00240F65"/>
    <w:rsid w:val="00244D9B"/>
    <w:rsid w:val="002519B4"/>
    <w:rsid w:val="002551F3"/>
    <w:rsid w:val="002736D7"/>
    <w:rsid w:val="002979B4"/>
    <w:rsid w:val="002C2E00"/>
    <w:rsid w:val="002D5317"/>
    <w:rsid w:val="002E2B69"/>
    <w:rsid w:val="002E5E88"/>
    <w:rsid w:val="0031048E"/>
    <w:rsid w:val="0031074D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0BEB"/>
    <w:rsid w:val="003C2A95"/>
    <w:rsid w:val="003D2EC8"/>
    <w:rsid w:val="003D45E3"/>
    <w:rsid w:val="003D6138"/>
    <w:rsid w:val="003E4697"/>
    <w:rsid w:val="004026C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56FB5"/>
    <w:rsid w:val="004626C2"/>
    <w:rsid w:val="00462DBF"/>
    <w:rsid w:val="00476720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586F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006F"/>
    <w:rsid w:val="006046EC"/>
    <w:rsid w:val="00606464"/>
    <w:rsid w:val="00614F2D"/>
    <w:rsid w:val="00622B3F"/>
    <w:rsid w:val="00630591"/>
    <w:rsid w:val="00642101"/>
    <w:rsid w:val="00664B2F"/>
    <w:rsid w:val="00667589"/>
    <w:rsid w:val="00676265"/>
    <w:rsid w:val="006930E1"/>
    <w:rsid w:val="0069712B"/>
    <w:rsid w:val="006E252A"/>
    <w:rsid w:val="006F0BED"/>
    <w:rsid w:val="007072D8"/>
    <w:rsid w:val="0071701B"/>
    <w:rsid w:val="00724899"/>
    <w:rsid w:val="00737B87"/>
    <w:rsid w:val="007408A0"/>
    <w:rsid w:val="0075110D"/>
    <w:rsid w:val="00751B7D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A2599"/>
    <w:rsid w:val="009A626A"/>
    <w:rsid w:val="009C429A"/>
    <w:rsid w:val="009D15C9"/>
    <w:rsid w:val="009D3969"/>
    <w:rsid w:val="009D4B2F"/>
    <w:rsid w:val="009E0D50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93C17"/>
    <w:rsid w:val="00AA2133"/>
    <w:rsid w:val="00AA6E37"/>
    <w:rsid w:val="00AB7185"/>
    <w:rsid w:val="00AC0DAB"/>
    <w:rsid w:val="00AD3601"/>
    <w:rsid w:val="00AD436B"/>
    <w:rsid w:val="00AF7C48"/>
    <w:rsid w:val="00B00AED"/>
    <w:rsid w:val="00B25E8B"/>
    <w:rsid w:val="00B46ADB"/>
    <w:rsid w:val="00B5387F"/>
    <w:rsid w:val="00B56D98"/>
    <w:rsid w:val="00B60FE3"/>
    <w:rsid w:val="00B65975"/>
    <w:rsid w:val="00B70669"/>
    <w:rsid w:val="00B76050"/>
    <w:rsid w:val="00B91D05"/>
    <w:rsid w:val="00BA08DF"/>
    <w:rsid w:val="00BA169E"/>
    <w:rsid w:val="00BD0C03"/>
    <w:rsid w:val="00BD2DAD"/>
    <w:rsid w:val="00C020C0"/>
    <w:rsid w:val="00C040C2"/>
    <w:rsid w:val="00C11DAF"/>
    <w:rsid w:val="00C13B1B"/>
    <w:rsid w:val="00C1474C"/>
    <w:rsid w:val="00C45BC4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17107"/>
    <w:rsid w:val="00D216D6"/>
    <w:rsid w:val="00D323D0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aliases w:val="CW_Lista,L1,Numerowanie,Akapit z listą5,T_SZ_List Paragraph,Kolorowa lista — akcent 11,Akapit z listą BS,Kolorowa lista — akcent 12,lp1,Preambuła,Lista num,HŁ_Bullet1,Podsis rysunku,Akapit z listą numerowaną,Nagłowek 3"/>
    <w:basedOn w:val="Normalny"/>
    <w:link w:val="AkapitzlistZnak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3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Akapit z listą5 Znak,T_SZ_List Paragraph Znak,Kolorowa lista — akcent 11 Znak,Akapit z listą BS Znak,Kolorowa lista — akcent 12 Znak,lp1 Znak,Preambuła Znak,Lista num Znak,HŁ_Bullet1 Znak"/>
    <w:link w:val="Akapitzlist"/>
    <w:uiPriority w:val="34"/>
    <w:qFormat/>
    <w:locked/>
    <w:rsid w:val="00D323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C0BEB"/>
  </w:style>
  <w:style w:type="table" w:customStyle="1" w:styleId="Tabela-Siatka1">
    <w:name w:val="Tabela - Siatka1"/>
    <w:basedOn w:val="Standardowy"/>
    <w:next w:val="Tabela-Siatka"/>
    <w:uiPriority w:val="39"/>
    <w:rsid w:val="00737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2217</Words>
  <Characters>15819</Characters>
  <Application>Microsoft Office Word</Application>
  <DocSecurity>0</DocSecurity>
  <Lines>131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Anna Adamkiewicz</cp:lastModifiedBy>
  <cp:revision>2</cp:revision>
  <cp:lastPrinted>2015-01-19T07:51:00Z</cp:lastPrinted>
  <dcterms:created xsi:type="dcterms:W3CDTF">2024-09-24T12:16:00Z</dcterms:created>
  <dcterms:modified xsi:type="dcterms:W3CDTF">2024-09-24T12:16:00Z</dcterms:modified>
</cp:coreProperties>
</file>